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A458">
      <w:pPr>
        <w:spacing w:before="156" w:beforeLines="50" w:after="156" w:afterLines="50" w:line="480" w:lineRule="exact"/>
        <w:ind w:left="558" w:hanging="558" w:hangingChars="155"/>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国际商</w:t>
      </w:r>
      <w:r>
        <w:rPr>
          <w:rFonts w:hint="eastAsia" w:ascii="方正小标宋简体" w:hAnsi="方正小标宋简体" w:eastAsia="方正小标宋简体" w:cs="方正小标宋简体"/>
          <w:bCs/>
          <w:sz w:val="36"/>
          <w:szCs w:val="36"/>
        </w:rPr>
        <w:t>学院</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lang w:val="en-US" w:eastAsia="zh-CN"/>
        </w:rPr>
        <w:t>数字营销</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rPr>
        <w:t>微专业人才培养方案</w:t>
      </w:r>
    </w:p>
    <w:p w14:paraId="557DE67D">
      <w:pPr>
        <w:spacing w:before="156" w:beforeLines="50" w:after="156" w:afterLines="50" w:line="480" w:lineRule="exact"/>
        <w:ind w:left="558" w:hanging="558" w:hangingChars="155"/>
        <w:jc w:val="center"/>
        <w:rPr>
          <w:rFonts w:hint="eastAsia" w:ascii="方正小标宋简体" w:hAnsi="方正小标宋简体" w:eastAsia="方正小标宋简体" w:cs="方正小标宋简体"/>
          <w:bCs/>
          <w:sz w:val="36"/>
          <w:szCs w:val="36"/>
        </w:rPr>
      </w:pPr>
    </w:p>
    <w:p w14:paraId="0F0F5949">
      <w:pPr>
        <w:widowControl/>
        <w:spacing w:after="156" w:line="0" w:lineRule="atLeast"/>
        <w:ind w:firstLine="560" w:firstLineChars="200"/>
        <w:jc w:val="left"/>
        <w:rPr>
          <w:rFonts w:ascii="黑体" w:hAnsi="黑体" w:eastAsia="黑体" w:cs="黑体"/>
          <w:bCs/>
          <w:sz w:val="28"/>
          <w:szCs w:val="28"/>
        </w:rPr>
      </w:pPr>
      <w:r>
        <w:rPr>
          <w:rFonts w:hint="eastAsia" w:ascii="黑体" w:hAnsi="黑体" w:eastAsia="黑体" w:cs="黑体"/>
          <w:bCs/>
          <w:sz w:val="28"/>
          <w:szCs w:val="28"/>
        </w:rPr>
        <w:t>一、培养目标</w:t>
      </w:r>
      <w:bookmarkStart w:id="0" w:name="_GoBack"/>
      <w:bookmarkEnd w:id="0"/>
    </w:p>
    <w:p w14:paraId="6A9277A6">
      <w:pPr>
        <w:widowControl/>
        <w:ind w:firstLine="560" w:firstLineChars="200"/>
        <w:rPr>
          <w:rFonts w:hint="eastAsia" w:ascii="仿宋_GB2312" w:eastAsia="仿宋_GB2312"/>
          <w:sz w:val="28"/>
          <w:szCs w:val="28"/>
        </w:rPr>
      </w:pPr>
      <w:r>
        <w:rPr>
          <w:rFonts w:hint="eastAsia" w:ascii="仿宋_GB2312" w:eastAsia="仿宋_GB2312"/>
          <w:sz w:val="28"/>
          <w:szCs w:val="28"/>
        </w:rPr>
        <w:t>本专业培养具有良好的数字化思维能力，掌握数字营销的基础理论和专业知识，具有较好的实践能力，掌握市场分析、市场挖掘、营销策划的基本方法，能够综合使用数字营销工具解决社会发展和企业生产中有关营销数字化转型的实际问题的高素质复合型人才。</w:t>
      </w:r>
    </w:p>
    <w:p w14:paraId="78FBC242">
      <w:pPr>
        <w:widowControl/>
        <w:ind w:firstLine="560" w:firstLineChars="200"/>
        <w:rPr>
          <w:rFonts w:hint="eastAsia" w:ascii="仿宋_GB2312" w:eastAsia="仿宋_GB2312"/>
          <w:b w:val="0"/>
          <w:bCs w:val="0"/>
          <w:sz w:val="28"/>
          <w:szCs w:val="28"/>
        </w:rPr>
      </w:pPr>
      <w:r>
        <w:rPr>
          <w:rFonts w:hint="eastAsia" w:ascii="仿宋_GB2312" w:eastAsia="仿宋_GB2312"/>
          <w:b w:val="0"/>
          <w:bCs w:val="0"/>
          <w:sz w:val="28"/>
          <w:szCs w:val="28"/>
        </w:rPr>
        <w:t>知识目标：系统掌握数字营销基础理论、数字消费者行为规律、</w:t>
      </w:r>
      <w:r>
        <w:rPr>
          <w:rFonts w:hint="eastAsia" w:ascii="仿宋_GB2312" w:eastAsia="仿宋_GB2312"/>
          <w:b w:val="0"/>
          <w:bCs w:val="0"/>
          <w:sz w:val="28"/>
          <w:szCs w:val="28"/>
          <w:lang w:val="en-US" w:eastAsia="zh-CN"/>
        </w:rPr>
        <w:t>数智化市场调研方法</w:t>
      </w:r>
      <w:r>
        <w:rPr>
          <w:rFonts w:hint="eastAsia" w:ascii="仿宋_GB2312" w:eastAsia="仿宋_GB2312"/>
          <w:b w:val="0"/>
          <w:bCs w:val="0"/>
          <w:sz w:val="28"/>
          <w:szCs w:val="28"/>
        </w:rPr>
        <w:t>，通晓跨境数字营销规则与行业合规要求；</w:t>
      </w:r>
    </w:p>
    <w:p w14:paraId="608E0868">
      <w:pPr>
        <w:widowControl/>
        <w:ind w:firstLine="560" w:firstLineChars="200"/>
        <w:rPr>
          <w:rFonts w:hint="eastAsia" w:ascii="仿宋_GB2312" w:eastAsia="仿宋_GB2312"/>
          <w:b w:val="0"/>
          <w:bCs w:val="0"/>
          <w:sz w:val="28"/>
          <w:szCs w:val="28"/>
        </w:rPr>
      </w:pPr>
      <w:r>
        <w:rPr>
          <w:rFonts w:hint="eastAsia" w:ascii="仿宋_GB2312" w:eastAsia="仿宋_GB2312"/>
          <w:b w:val="0"/>
          <w:bCs w:val="0"/>
          <w:sz w:val="28"/>
          <w:szCs w:val="28"/>
        </w:rPr>
        <w:t>能力目标：具备数字营销方案策划、数字消费者洞察、</w:t>
      </w:r>
      <w:r>
        <w:rPr>
          <w:rFonts w:hint="eastAsia" w:ascii="仿宋_GB2312" w:eastAsia="仿宋_GB2312"/>
          <w:b w:val="0"/>
          <w:bCs w:val="0"/>
          <w:sz w:val="28"/>
          <w:szCs w:val="28"/>
          <w:lang w:val="en-US" w:eastAsia="zh-CN"/>
        </w:rPr>
        <w:t>数智化市场调研</w:t>
      </w:r>
      <w:r>
        <w:rPr>
          <w:rFonts w:hint="eastAsia" w:ascii="仿宋_GB2312" w:eastAsia="仿宋_GB2312"/>
          <w:b w:val="0"/>
          <w:bCs w:val="0"/>
          <w:sz w:val="28"/>
          <w:szCs w:val="28"/>
        </w:rPr>
        <w:t>、跨境营销落地的核心能力；</w:t>
      </w:r>
    </w:p>
    <w:p w14:paraId="4D2D7FA5">
      <w:pPr>
        <w:widowControl/>
        <w:ind w:firstLine="560" w:firstLineChars="200"/>
        <w:rPr>
          <w:rFonts w:hint="eastAsia" w:ascii="仿宋_GB2312" w:eastAsia="仿宋_GB2312"/>
          <w:b w:val="0"/>
          <w:bCs w:val="0"/>
          <w:sz w:val="28"/>
          <w:szCs w:val="28"/>
        </w:rPr>
      </w:pPr>
      <w:r>
        <w:rPr>
          <w:rFonts w:hint="eastAsia" w:ascii="仿宋_GB2312" w:eastAsia="仿宋_GB2312"/>
          <w:b w:val="0"/>
          <w:bCs w:val="0"/>
          <w:sz w:val="28"/>
          <w:szCs w:val="28"/>
        </w:rPr>
        <w:t>素养目标：塑造数据驱动的营销思维与创新型问题解决能力，强化数字营销伦理与跨文化沟通素养，培养服务企业数字化转型的责任感。</w:t>
      </w:r>
    </w:p>
    <w:p w14:paraId="07C8CDDE">
      <w:pPr>
        <w:widowControl/>
        <w:ind w:firstLine="560" w:firstLineChars="200"/>
        <w:rPr>
          <w:rFonts w:ascii="黑体" w:hAnsi="黑体" w:eastAsia="黑体" w:cs="黑体"/>
          <w:bCs/>
          <w:sz w:val="28"/>
          <w:szCs w:val="28"/>
        </w:rPr>
      </w:pPr>
      <w:r>
        <w:rPr>
          <w:rFonts w:hint="eastAsia" w:ascii="黑体" w:hAnsi="黑体" w:eastAsia="黑体" w:cs="黑体"/>
          <w:bCs/>
          <w:sz w:val="28"/>
          <w:szCs w:val="28"/>
        </w:rPr>
        <w:t>二、毕业要求</w:t>
      </w:r>
    </w:p>
    <w:p w14:paraId="01C58AD1">
      <w:pPr>
        <w:widowControl/>
        <w:ind w:firstLine="560" w:firstLineChars="200"/>
        <w:rPr>
          <w:rFonts w:hint="eastAsia" w:ascii="仿宋_GB2312" w:eastAsia="仿宋_GB2312"/>
          <w:sz w:val="28"/>
          <w:szCs w:val="28"/>
        </w:rPr>
      </w:pPr>
      <w:r>
        <w:rPr>
          <w:rFonts w:hint="eastAsia" w:ascii="仿宋_GB2312" w:eastAsia="仿宋_GB2312"/>
          <w:sz w:val="28"/>
          <w:szCs w:val="28"/>
        </w:rPr>
        <w:t>本专业要求学生学习并掌握数字营销技术的</w:t>
      </w:r>
      <w:r>
        <w:rPr>
          <w:rFonts w:hint="eastAsia" w:ascii="仿宋_GB2312" w:eastAsia="仿宋_GB2312"/>
          <w:sz w:val="28"/>
          <w:szCs w:val="28"/>
          <w:lang w:val="en-US" w:eastAsia="zh-CN"/>
        </w:rPr>
        <w:t>核心</w:t>
      </w:r>
      <w:r>
        <w:rPr>
          <w:rFonts w:hint="eastAsia" w:ascii="仿宋_GB2312" w:eastAsia="仿宋_GB2312"/>
          <w:sz w:val="28"/>
          <w:szCs w:val="28"/>
        </w:rPr>
        <w:t>理论和方法,受到科学研究的初步训练,能够运用所学知识和数字营销技能解决实际问题；具备包括数据驱动思维在内的科学思维能力</w:t>
      </w:r>
      <w:r>
        <w:rPr>
          <w:rFonts w:hint="eastAsia" w:ascii="仿宋_GB2312" w:eastAsia="仿宋_GB2312"/>
          <w:sz w:val="28"/>
          <w:szCs w:val="28"/>
          <w:lang w:eastAsia="zh-CN"/>
        </w:rPr>
        <w:t>；</w:t>
      </w:r>
      <w:r>
        <w:rPr>
          <w:rFonts w:hint="eastAsia" w:ascii="仿宋_GB2312" w:eastAsia="仿宋_GB2312"/>
          <w:sz w:val="28"/>
          <w:szCs w:val="28"/>
        </w:rPr>
        <w:t>具备解决营销策略问题的实操能力；具有良好的创新和创业意识、竞争意识和团队精神。</w:t>
      </w:r>
    </w:p>
    <w:p w14:paraId="0DE69E8C">
      <w:pPr>
        <w:widowControl/>
        <w:ind w:firstLine="560" w:firstLineChars="200"/>
        <w:rPr>
          <w:rFonts w:hint="eastAsia" w:ascii="仿宋_GB2312" w:eastAsia="仿宋_GB2312"/>
          <w:sz w:val="28"/>
          <w:szCs w:val="28"/>
        </w:rPr>
      </w:pPr>
      <w:r>
        <w:rPr>
          <w:rFonts w:hint="eastAsia" w:ascii="仿宋_GB2312" w:eastAsia="仿宋_GB2312"/>
          <w:sz w:val="28"/>
          <w:szCs w:val="28"/>
        </w:rPr>
        <w:t>毕业生应获得以下几方面的知识、能力和素质：</w:t>
      </w:r>
    </w:p>
    <w:p w14:paraId="246377C7">
      <w:pPr>
        <w:widowControl/>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专业知识的掌握与应用：</w:t>
      </w:r>
      <w:r>
        <w:rPr>
          <w:rFonts w:hint="eastAsia" w:ascii="仿宋_GB2312" w:eastAsia="仿宋_GB2312"/>
          <w:sz w:val="28"/>
          <w:szCs w:val="28"/>
        </w:rPr>
        <w:t>掌握数字营销专业基础知识，能运用数据分析与可视化的方法解决企业营销决策中的实际问题；</w:t>
      </w:r>
    </w:p>
    <w:p w14:paraId="77EBACA2">
      <w:pPr>
        <w:widowControl/>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前沿认知与创新意识：</w:t>
      </w:r>
      <w:r>
        <w:rPr>
          <w:rFonts w:hint="eastAsia" w:ascii="仿宋_GB2312" w:eastAsia="仿宋_GB2312"/>
          <w:sz w:val="28"/>
          <w:szCs w:val="28"/>
        </w:rPr>
        <w:t>了解</w:t>
      </w:r>
      <w:r>
        <w:rPr>
          <w:rFonts w:hint="eastAsia" w:ascii="仿宋_GB2312" w:eastAsia="仿宋_GB2312"/>
          <w:sz w:val="28"/>
          <w:szCs w:val="28"/>
          <w:lang w:val="en-US" w:eastAsia="zh-CN"/>
        </w:rPr>
        <w:t>数字</w:t>
      </w:r>
      <w:r>
        <w:rPr>
          <w:rFonts w:hint="eastAsia" w:ascii="仿宋_GB2312" w:eastAsia="仿宋_GB2312"/>
          <w:sz w:val="28"/>
          <w:szCs w:val="28"/>
        </w:rPr>
        <w:t>营销领域</w:t>
      </w:r>
      <w:r>
        <w:rPr>
          <w:rFonts w:hint="eastAsia" w:ascii="仿宋_GB2312" w:eastAsia="仿宋_GB2312"/>
          <w:sz w:val="28"/>
          <w:szCs w:val="28"/>
          <w:lang w:val="en-US" w:eastAsia="zh-CN"/>
        </w:rPr>
        <w:t>的</w:t>
      </w:r>
      <w:r>
        <w:rPr>
          <w:rFonts w:hint="eastAsia" w:ascii="仿宋_GB2312" w:eastAsia="仿宋_GB2312"/>
          <w:sz w:val="28"/>
          <w:szCs w:val="28"/>
        </w:rPr>
        <w:t>理论、技术及应用的新发展，具有较强的创新意识；</w:t>
      </w:r>
    </w:p>
    <w:p w14:paraId="5ACB14A0">
      <w:pPr>
        <w:widowControl/>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团队协作与自主学习：</w:t>
      </w:r>
      <w:r>
        <w:rPr>
          <w:rFonts w:hint="eastAsia" w:ascii="仿宋_GB2312" w:eastAsia="仿宋_GB2312"/>
          <w:sz w:val="28"/>
          <w:szCs w:val="28"/>
        </w:rPr>
        <w:t>具有个人工作和团队协作的能力，具有创新精神和自主学习与适应发展的能力。</w:t>
      </w:r>
    </w:p>
    <w:p w14:paraId="1B93991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三、招生对象与条件</w:t>
      </w:r>
    </w:p>
    <w:p w14:paraId="20820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仿宋_GB2312" w:cs="黑体"/>
          <w:bCs/>
          <w:sz w:val="28"/>
          <w:szCs w:val="28"/>
          <w:lang w:eastAsia="zh-CN"/>
        </w:rPr>
      </w:pPr>
      <w:r>
        <w:rPr>
          <w:rFonts w:hint="eastAsia" w:ascii="仿宋_GB2312" w:eastAsia="仿宋_GB2312"/>
          <w:color w:val="auto"/>
          <w:sz w:val="28"/>
          <w:szCs w:val="28"/>
          <w:lang w:val="en-US" w:eastAsia="zh-CN"/>
        </w:rPr>
        <w:t>大二、大三年级的全日制本科学生，</w:t>
      </w:r>
      <w:r>
        <w:rPr>
          <w:rFonts w:hint="eastAsia" w:ascii="仿宋_GB2312" w:eastAsia="仿宋_GB2312"/>
          <w:sz w:val="28"/>
          <w:szCs w:val="28"/>
          <w:lang w:val="en-US" w:eastAsia="zh-CN"/>
        </w:rPr>
        <w:t>对数字营销、消费者行为分析与人工智能技术应用具有浓厚兴趣者。</w:t>
      </w:r>
    </w:p>
    <w:p w14:paraId="09EE98B0">
      <w:pPr>
        <w:spacing w:before="156" w:beforeLines="50" w:after="156" w:afterLines="50" w:line="48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四、学分与证书</w:t>
      </w:r>
    </w:p>
    <w:p w14:paraId="519251A0">
      <w:pPr>
        <w:widowControl/>
        <w:ind w:firstLine="560" w:firstLineChars="200"/>
        <w:rPr>
          <w:rFonts w:ascii="宋体" w:hAnsi="宋体"/>
          <w:bCs/>
          <w:sz w:val="28"/>
          <w:szCs w:val="28"/>
        </w:rPr>
      </w:pPr>
      <w:r>
        <w:rPr>
          <w:rFonts w:hint="eastAsia" w:ascii="仿宋_GB2312" w:eastAsia="仿宋_GB2312"/>
          <w:color w:val="auto"/>
          <w:sz w:val="28"/>
          <w:szCs w:val="28"/>
          <w:lang w:val="en-US" w:eastAsia="zh-CN"/>
        </w:rPr>
        <w:t>学生在本科毕业或结业离校前，修读完成微专业培养方案规定的所有课程，且成绩全部合格，获得相应学分，由学校颁发微专业证书。</w:t>
      </w:r>
    </w:p>
    <w:p w14:paraId="73DD1E29">
      <w:pPr>
        <w:spacing w:before="156" w:beforeLines="50" w:after="156" w:afterLines="50" w:line="48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五、指导性教学计划进度表</w:t>
      </w:r>
    </w:p>
    <w:p w14:paraId="5D38483D">
      <w:pPr>
        <w:widowControl/>
        <w:spacing w:after="156" w:line="0" w:lineRule="atLeast"/>
        <w:jc w:val="center"/>
        <w:rPr>
          <w:rFonts w:ascii="黑体" w:hAnsi="黑体" w:eastAsia="黑体" w:cs="黑体"/>
          <w:bCs/>
          <w:sz w:val="28"/>
          <w:szCs w:val="28"/>
        </w:rPr>
      </w:pPr>
      <w:r>
        <w:rPr>
          <w:rFonts w:hint="eastAsia" w:ascii="黑体" w:hAnsi="黑体" w:eastAsia="黑体" w:cs="黑体"/>
          <w:bCs/>
          <w:sz w:val="28"/>
          <w:szCs w:val="28"/>
          <w:lang w:val="en-US" w:eastAsia="zh-CN"/>
        </w:rPr>
        <w:t>数字营销</w:t>
      </w:r>
      <w:r>
        <w:rPr>
          <w:rFonts w:hint="eastAsia" w:ascii="黑体" w:hAnsi="黑体" w:eastAsia="黑体" w:cs="黑体"/>
          <w:bCs/>
          <w:sz w:val="28"/>
          <w:szCs w:val="28"/>
        </w:rPr>
        <w:t>微专业指导性教学计划进度表</w:t>
      </w:r>
    </w:p>
    <w:tbl>
      <w:tblPr>
        <w:tblStyle w:val="3"/>
        <w:tblpPr w:leftFromText="180" w:rightFromText="180" w:vertAnchor="text" w:horzAnchor="page" w:tblpXSpec="center" w:tblpY="156"/>
        <w:tblOverlap w:val="never"/>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658"/>
        <w:gridCol w:w="903"/>
        <w:gridCol w:w="936"/>
        <w:gridCol w:w="800"/>
        <w:gridCol w:w="1162"/>
        <w:gridCol w:w="1175"/>
        <w:gridCol w:w="1257"/>
      </w:tblGrid>
      <w:tr w14:paraId="363A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27" w:type="pct"/>
            <w:vMerge w:val="restart"/>
            <w:vAlign w:val="center"/>
          </w:tcPr>
          <w:p w14:paraId="6BA7FECE">
            <w:pPr>
              <w:widowControl/>
              <w:jc w:val="center"/>
              <w:rPr>
                <w:rFonts w:ascii="黑体" w:hAnsi="黑体" w:eastAsia="黑体"/>
                <w:bCs/>
                <w:sz w:val="21"/>
                <w:szCs w:val="21"/>
              </w:rPr>
            </w:pPr>
            <w:r>
              <w:rPr>
                <w:rFonts w:hint="eastAsia" w:ascii="黑体" w:hAnsi="黑体" w:eastAsia="黑体"/>
                <w:bCs/>
                <w:sz w:val="21"/>
                <w:szCs w:val="21"/>
              </w:rPr>
              <w:t>课程名称</w:t>
            </w:r>
          </w:p>
        </w:tc>
        <w:tc>
          <w:tcPr>
            <w:tcW w:w="360" w:type="pct"/>
            <w:vMerge w:val="restart"/>
            <w:vAlign w:val="center"/>
          </w:tcPr>
          <w:p w14:paraId="66A4E915">
            <w:pPr>
              <w:widowControl/>
              <w:jc w:val="center"/>
              <w:rPr>
                <w:rFonts w:ascii="黑体" w:hAnsi="黑体" w:eastAsia="黑体"/>
                <w:bCs/>
                <w:spacing w:val="20"/>
                <w:sz w:val="21"/>
                <w:szCs w:val="21"/>
              </w:rPr>
            </w:pPr>
            <w:r>
              <w:rPr>
                <w:rFonts w:hint="eastAsia" w:ascii="黑体" w:hAnsi="黑体" w:eastAsia="黑体"/>
                <w:bCs/>
                <w:sz w:val="21"/>
                <w:szCs w:val="21"/>
              </w:rPr>
              <w:t>学分</w:t>
            </w:r>
          </w:p>
        </w:tc>
        <w:tc>
          <w:tcPr>
            <w:tcW w:w="494" w:type="pct"/>
            <w:vMerge w:val="restart"/>
            <w:vAlign w:val="center"/>
          </w:tcPr>
          <w:p w14:paraId="68248738">
            <w:pPr>
              <w:widowControl/>
              <w:jc w:val="center"/>
              <w:rPr>
                <w:rFonts w:ascii="黑体" w:hAnsi="黑体" w:eastAsia="黑体"/>
                <w:bCs/>
                <w:sz w:val="21"/>
                <w:szCs w:val="21"/>
              </w:rPr>
            </w:pPr>
            <w:r>
              <w:rPr>
                <w:rFonts w:ascii="黑体" w:hAnsi="黑体" w:eastAsia="黑体"/>
                <w:bCs/>
                <w:sz w:val="21"/>
                <w:szCs w:val="21"/>
              </w:rPr>
              <w:t>总学时</w:t>
            </w:r>
          </w:p>
        </w:tc>
        <w:tc>
          <w:tcPr>
            <w:tcW w:w="950" w:type="pct"/>
            <w:gridSpan w:val="2"/>
            <w:vAlign w:val="center"/>
          </w:tcPr>
          <w:p w14:paraId="7154C514">
            <w:pPr>
              <w:widowControl/>
              <w:snapToGrid w:val="0"/>
              <w:jc w:val="center"/>
              <w:rPr>
                <w:rFonts w:hint="default" w:ascii="黑体" w:hAnsi="黑体" w:eastAsia="黑体"/>
                <w:bCs/>
                <w:sz w:val="21"/>
                <w:szCs w:val="21"/>
                <w:lang w:val="en-US" w:eastAsia="zh-CN"/>
              </w:rPr>
            </w:pPr>
            <w:r>
              <w:rPr>
                <w:rFonts w:hint="eastAsia" w:ascii="黑体" w:hAnsi="黑体" w:eastAsia="黑体"/>
                <w:bCs/>
                <w:sz w:val="21"/>
                <w:szCs w:val="21"/>
                <w:lang w:val="en-US" w:eastAsia="zh-CN"/>
              </w:rPr>
              <w:t>学时分配</w:t>
            </w:r>
          </w:p>
        </w:tc>
        <w:tc>
          <w:tcPr>
            <w:tcW w:w="636" w:type="pct"/>
            <w:vMerge w:val="restart"/>
            <w:vAlign w:val="center"/>
          </w:tcPr>
          <w:p w14:paraId="39129225">
            <w:pPr>
              <w:widowControl/>
              <w:snapToGrid w:val="0"/>
              <w:jc w:val="center"/>
              <w:rPr>
                <w:rFonts w:hint="eastAsia" w:ascii="黑体" w:hAnsi="黑体" w:eastAsia="黑体"/>
                <w:bCs/>
                <w:sz w:val="21"/>
                <w:szCs w:val="21"/>
              </w:rPr>
            </w:pPr>
            <w:r>
              <w:rPr>
                <w:rFonts w:hint="eastAsia" w:ascii="黑体" w:hAnsi="黑体" w:eastAsia="黑体"/>
                <w:bCs/>
                <w:sz w:val="21"/>
                <w:szCs w:val="21"/>
              </w:rPr>
              <w:t>课程性质</w:t>
            </w:r>
          </w:p>
        </w:tc>
        <w:tc>
          <w:tcPr>
            <w:tcW w:w="643" w:type="pct"/>
            <w:vMerge w:val="restart"/>
            <w:vAlign w:val="center"/>
          </w:tcPr>
          <w:p w14:paraId="53348C0C">
            <w:pPr>
              <w:widowControl/>
              <w:snapToGrid w:val="0"/>
              <w:jc w:val="center"/>
              <w:rPr>
                <w:rFonts w:ascii="黑体" w:hAnsi="黑体" w:eastAsia="黑体"/>
                <w:bCs/>
                <w:sz w:val="21"/>
                <w:szCs w:val="21"/>
              </w:rPr>
            </w:pPr>
            <w:r>
              <w:rPr>
                <w:rFonts w:hint="eastAsia" w:ascii="黑体" w:hAnsi="黑体" w:eastAsia="黑体"/>
                <w:bCs/>
                <w:sz w:val="21"/>
                <w:szCs w:val="21"/>
              </w:rPr>
              <w:t>考核方式</w:t>
            </w:r>
          </w:p>
        </w:tc>
        <w:tc>
          <w:tcPr>
            <w:tcW w:w="688" w:type="pct"/>
            <w:vMerge w:val="restart"/>
            <w:vAlign w:val="center"/>
          </w:tcPr>
          <w:p w14:paraId="60C62452">
            <w:pPr>
              <w:widowControl/>
              <w:snapToGrid w:val="0"/>
              <w:jc w:val="center"/>
              <w:rPr>
                <w:rFonts w:ascii="黑体" w:hAnsi="黑体" w:eastAsia="黑体"/>
                <w:bCs/>
                <w:sz w:val="21"/>
                <w:szCs w:val="21"/>
              </w:rPr>
            </w:pPr>
            <w:r>
              <w:rPr>
                <w:rFonts w:ascii="黑体" w:hAnsi="黑体" w:eastAsia="黑体"/>
                <w:bCs/>
                <w:sz w:val="21"/>
                <w:szCs w:val="21"/>
              </w:rPr>
              <w:t>开课</w:t>
            </w:r>
            <w:r>
              <w:rPr>
                <w:rFonts w:hint="eastAsia" w:ascii="黑体" w:hAnsi="黑体" w:eastAsia="黑体"/>
                <w:bCs/>
                <w:spacing w:val="20"/>
                <w:sz w:val="21"/>
                <w:szCs w:val="21"/>
              </w:rPr>
              <w:t>学期</w:t>
            </w:r>
          </w:p>
        </w:tc>
      </w:tr>
      <w:tr w14:paraId="773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pct"/>
            <w:vMerge w:val="continue"/>
            <w:vAlign w:val="center"/>
          </w:tcPr>
          <w:p w14:paraId="72EF9FD1">
            <w:pPr>
              <w:widowControl/>
              <w:jc w:val="center"/>
              <w:rPr>
                <w:rFonts w:hint="eastAsia" w:ascii="黑体" w:hAnsi="黑体" w:eastAsia="黑体"/>
                <w:bCs/>
                <w:sz w:val="21"/>
                <w:szCs w:val="21"/>
              </w:rPr>
            </w:pPr>
          </w:p>
        </w:tc>
        <w:tc>
          <w:tcPr>
            <w:tcW w:w="360" w:type="pct"/>
            <w:vMerge w:val="continue"/>
            <w:tcBorders>
              <w:bottom w:val="single" w:color="auto" w:sz="4" w:space="0"/>
            </w:tcBorders>
            <w:vAlign w:val="center"/>
          </w:tcPr>
          <w:p w14:paraId="4237708E">
            <w:pPr>
              <w:widowControl/>
              <w:jc w:val="center"/>
              <w:rPr>
                <w:rFonts w:hint="eastAsia" w:ascii="黑体" w:hAnsi="黑体" w:eastAsia="黑体"/>
                <w:bCs/>
                <w:sz w:val="21"/>
                <w:szCs w:val="21"/>
              </w:rPr>
            </w:pPr>
          </w:p>
        </w:tc>
        <w:tc>
          <w:tcPr>
            <w:tcW w:w="494" w:type="pct"/>
            <w:vMerge w:val="continue"/>
            <w:vAlign w:val="center"/>
          </w:tcPr>
          <w:p w14:paraId="08F5537B">
            <w:pPr>
              <w:widowControl/>
              <w:jc w:val="center"/>
              <w:rPr>
                <w:rFonts w:ascii="黑体" w:hAnsi="黑体" w:eastAsia="黑体"/>
                <w:bCs/>
                <w:sz w:val="21"/>
                <w:szCs w:val="21"/>
              </w:rPr>
            </w:pPr>
          </w:p>
        </w:tc>
        <w:tc>
          <w:tcPr>
            <w:tcW w:w="512" w:type="pct"/>
            <w:vAlign w:val="center"/>
          </w:tcPr>
          <w:p w14:paraId="08F728BF">
            <w:pPr>
              <w:widowControl/>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理论</w:t>
            </w:r>
          </w:p>
        </w:tc>
        <w:tc>
          <w:tcPr>
            <w:tcW w:w="437" w:type="pct"/>
            <w:vAlign w:val="center"/>
          </w:tcPr>
          <w:p w14:paraId="2C029E03">
            <w:pPr>
              <w:widowControl/>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实践</w:t>
            </w:r>
          </w:p>
        </w:tc>
        <w:tc>
          <w:tcPr>
            <w:tcW w:w="636" w:type="pct"/>
            <w:vMerge w:val="continue"/>
            <w:vAlign w:val="center"/>
          </w:tcPr>
          <w:p w14:paraId="60AA06E5">
            <w:pPr>
              <w:widowControl/>
              <w:snapToGrid w:val="0"/>
              <w:jc w:val="center"/>
              <w:rPr>
                <w:rFonts w:hint="eastAsia" w:ascii="黑体" w:hAnsi="黑体" w:eastAsia="黑体"/>
                <w:bCs/>
                <w:sz w:val="21"/>
                <w:szCs w:val="21"/>
              </w:rPr>
            </w:pPr>
          </w:p>
        </w:tc>
        <w:tc>
          <w:tcPr>
            <w:tcW w:w="643" w:type="pct"/>
            <w:vMerge w:val="continue"/>
            <w:tcBorders>
              <w:bottom w:val="single" w:color="auto" w:sz="4" w:space="0"/>
            </w:tcBorders>
            <w:vAlign w:val="center"/>
          </w:tcPr>
          <w:p w14:paraId="4E26C733">
            <w:pPr>
              <w:widowControl/>
              <w:snapToGrid w:val="0"/>
              <w:jc w:val="center"/>
              <w:rPr>
                <w:rFonts w:hint="eastAsia" w:ascii="黑体" w:hAnsi="黑体" w:eastAsia="黑体"/>
                <w:bCs/>
                <w:sz w:val="21"/>
                <w:szCs w:val="21"/>
              </w:rPr>
            </w:pPr>
          </w:p>
        </w:tc>
        <w:tc>
          <w:tcPr>
            <w:tcW w:w="688" w:type="pct"/>
            <w:vMerge w:val="continue"/>
            <w:tcBorders>
              <w:bottom w:val="single" w:color="auto" w:sz="4" w:space="0"/>
            </w:tcBorders>
            <w:vAlign w:val="center"/>
          </w:tcPr>
          <w:p w14:paraId="35E7B9C9">
            <w:pPr>
              <w:widowControl/>
              <w:snapToGrid w:val="0"/>
              <w:jc w:val="center"/>
              <w:rPr>
                <w:rFonts w:ascii="黑体" w:hAnsi="黑体" w:eastAsia="黑体"/>
                <w:bCs/>
                <w:sz w:val="21"/>
                <w:szCs w:val="21"/>
              </w:rPr>
            </w:pPr>
          </w:p>
        </w:tc>
      </w:tr>
      <w:tr w14:paraId="200E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7" w:type="pct"/>
            <w:vAlign w:val="center"/>
          </w:tcPr>
          <w:p w14:paraId="4CBFB4C7">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数字营销概论</w:t>
            </w:r>
          </w:p>
        </w:tc>
        <w:tc>
          <w:tcPr>
            <w:tcW w:w="360" w:type="pct"/>
            <w:vAlign w:val="center"/>
          </w:tcPr>
          <w:p w14:paraId="07987456">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w:t>
            </w:r>
          </w:p>
        </w:tc>
        <w:tc>
          <w:tcPr>
            <w:tcW w:w="494" w:type="pct"/>
            <w:vAlign w:val="center"/>
          </w:tcPr>
          <w:p w14:paraId="7727E4E1">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36</w:t>
            </w:r>
          </w:p>
        </w:tc>
        <w:tc>
          <w:tcPr>
            <w:tcW w:w="512" w:type="pct"/>
            <w:vAlign w:val="center"/>
          </w:tcPr>
          <w:p w14:paraId="5B13164E">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24</w:t>
            </w:r>
          </w:p>
        </w:tc>
        <w:tc>
          <w:tcPr>
            <w:tcW w:w="437" w:type="pct"/>
            <w:vAlign w:val="center"/>
          </w:tcPr>
          <w:p w14:paraId="028E8BAB">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12</w:t>
            </w:r>
          </w:p>
        </w:tc>
        <w:tc>
          <w:tcPr>
            <w:tcW w:w="636" w:type="pct"/>
            <w:vAlign w:val="center"/>
          </w:tcPr>
          <w:p w14:paraId="1AEFB631">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必修</w:t>
            </w:r>
          </w:p>
        </w:tc>
        <w:tc>
          <w:tcPr>
            <w:tcW w:w="643" w:type="pct"/>
            <w:vAlign w:val="center"/>
          </w:tcPr>
          <w:p w14:paraId="060BE3C4">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考查</w:t>
            </w:r>
          </w:p>
        </w:tc>
        <w:tc>
          <w:tcPr>
            <w:tcW w:w="688" w:type="pct"/>
            <w:vAlign w:val="center"/>
          </w:tcPr>
          <w:p w14:paraId="45849937">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春季学期</w:t>
            </w:r>
          </w:p>
        </w:tc>
      </w:tr>
      <w:tr w14:paraId="0163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27" w:type="pct"/>
            <w:vAlign w:val="center"/>
          </w:tcPr>
          <w:p w14:paraId="36C177CE">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数字商业管理</w:t>
            </w:r>
          </w:p>
        </w:tc>
        <w:tc>
          <w:tcPr>
            <w:tcW w:w="360" w:type="pct"/>
            <w:vAlign w:val="center"/>
          </w:tcPr>
          <w:p w14:paraId="0BBB6BC8">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w:t>
            </w:r>
          </w:p>
        </w:tc>
        <w:tc>
          <w:tcPr>
            <w:tcW w:w="494" w:type="pct"/>
            <w:vAlign w:val="center"/>
          </w:tcPr>
          <w:p w14:paraId="62356B32">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36</w:t>
            </w:r>
          </w:p>
        </w:tc>
        <w:tc>
          <w:tcPr>
            <w:tcW w:w="512" w:type="pct"/>
            <w:vAlign w:val="center"/>
          </w:tcPr>
          <w:p w14:paraId="01CEBAB9">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12</w:t>
            </w:r>
          </w:p>
        </w:tc>
        <w:tc>
          <w:tcPr>
            <w:tcW w:w="437" w:type="pct"/>
            <w:vAlign w:val="center"/>
          </w:tcPr>
          <w:p w14:paraId="67DB9589">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24</w:t>
            </w:r>
          </w:p>
        </w:tc>
        <w:tc>
          <w:tcPr>
            <w:tcW w:w="636" w:type="pct"/>
            <w:shd w:val="clear" w:color="auto" w:fill="auto"/>
            <w:vAlign w:val="center"/>
          </w:tcPr>
          <w:p w14:paraId="5C6B98F8">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必修</w:t>
            </w:r>
          </w:p>
        </w:tc>
        <w:tc>
          <w:tcPr>
            <w:tcW w:w="643" w:type="pct"/>
            <w:shd w:val="clear" w:color="auto" w:fill="auto"/>
            <w:vAlign w:val="center"/>
          </w:tcPr>
          <w:p w14:paraId="04825839">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考查</w:t>
            </w:r>
          </w:p>
        </w:tc>
        <w:tc>
          <w:tcPr>
            <w:tcW w:w="688" w:type="pct"/>
            <w:vAlign w:val="center"/>
          </w:tcPr>
          <w:p w14:paraId="4F1D0565">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春季学期</w:t>
            </w:r>
          </w:p>
        </w:tc>
      </w:tr>
      <w:tr w14:paraId="6612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27" w:type="pct"/>
            <w:vAlign w:val="center"/>
          </w:tcPr>
          <w:p w14:paraId="4A8046B5">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数字消费者行为学</w:t>
            </w:r>
          </w:p>
        </w:tc>
        <w:tc>
          <w:tcPr>
            <w:tcW w:w="360" w:type="pct"/>
            <w:vAlign w:val="center"/>
          </w:tcPr>
          <w:p w14:paraId="61D046F8">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w:t>
            </w:r>
          </w:p>
        </w:tc>
        <w:tc>
          <w:tcPr>
            <w:tcW w:w="494" w:type="pct"/>
            <w:vAlign w:val="center"/>
          </w:tcPr>
          <w:p w14:paraId="3156874F">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36</w:t>
            </w:r>
          </w:p>
        </w:tc>
        <w:tc>
          <w:tcPr>
            <w:tcW w:w="512" w:type="pct"/>
            <w:vAlign w:val="center"/>
          </w:tcPr>
          <w:p w14:paraId="41E5FECC">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12</w:t>
            </w:r>
          </w:p>
        </w:tc>
        <w:tc>
          <w:tcPr>
            <w:tcW w:w="437" w:type="pct"/>
            <w:vAlign w:val="center"/>
          </w:tcPr>
          <w:p w14:paraId="1AD269D3">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24</w:t>
            </w:r>
          </w:p>
        </w:tc>
        <w:tc>
          <w:tcPr>
            <w:tcW w:w="636" w:type="pct"/>
            <w:shd w:val="clear" w:color="auto" w:fill="auto"/>
            <w:vAlign w:val="center"/>
          </w:tcPr>
          <w:p w14:paraId="3F6970FE">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必修</w:t>
            </w:r>
          </w:p>
        </w:tc>
        <w:tc>
          <w:tcPr>
            <w:tcW w:w="643" w:type="pct"/>
            <w:shd w:val="clear" w:color="auto" w:fill="auto"/>
            <w:vAlign w:val="center"/>
          </w:tcPr>
          <w:p w14:paraId="2F3BCA07">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考查</w:t>
            </w:r>
          </w:p>
        </w:tc>
        <w:tc>
          <w:tcPr>
            <w:tcW w:w="688" w:type="pct"/>
            <w:vAlign w:val="center"/>
          </w:tcPr>
          <w:p w14:paraId="5A936E9D">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春季学期</w:t>
            </w:r>
          </w:p>
        </w:tc>
      </w:tr>
      <w:tr w14:paraId="655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27" w:type="pct"/>
            <w:vAlign w:val="center"/>
          </w:tcPr>
          <w:p w14:paraId="6365DFEF">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商务数据分析</w:t>
            </w:r>
          </w:p>
        </w:tc>
        <w:tc>
          <w:tcPr>
            <w:tcW w:w="360" w:type="pct"/>
            <w:vAlign w:val="center"/>
          </w:tcPr>
          <w:p w14:paraId="29A0261A">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w:t>
            </w:r>
          </w:p>
        </w:tc>
        <w:tc>
          <w:tcPr>
            <w:tcW w:w="494" w:type="pct"/>
            <w:vAlign w:val="center"/>
          </w:tcPr>
          <w:p w14:paraId="5F70DB9E">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36</w:t>
            </w:r>
          </w:p>
        </w:tc>
        <w:tc>
          <w:tcPr>
            <w:tcW w:w="512" w:type="pct"/>
            <w:vAlign w:val="center"/>
          </w:tcPr>
          <w:p w14:paraId="48812CB0">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12</w:t>
            </w:r>
          </w:p>
        </w:tc>
        <w:tc>
          <w:tcPr>
            <w:tcW w:w="437" w:type="pct"/>
            <w:vAlign w:val="center"/>
          </w:tcPr>
          <w:p w14:paraId="7AAB0154">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24</w:t>
            </w:r>
          </w:p>
        </w:tc>
        <w:tc>
          <w:tcPr>
            <w:tcW w:w="636" w:type="pct"/>
            <w:shd w:val="clear" w:color="auto" w:fill="auto"/>
            <w:vAlign w:val="center"/>
          </w:tcPr>
          <w:p w14:paraId="362625F3">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必修</w:t>
            </w:r>
          </w:p>
        </w:tc>
        <w:tc>
          <w:tcPr>
            <w:tcW w:w="643" w:type="pct"/>
            <w:shd w:val="clear" w:color="auto" w:fill="auto"/>
            <w:vAlign w:val="center"/>
          </w:tcPr>
          <w:p w14:paraId="72E78AAE">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考查</w:t>
            </w:r>
          </w:p>
        </w:tc>
        <w:tc>
          <w:tcPr>
            <w:tcW w:w="688" w:type="pct"/>
            <w:vAlign w:val="center"/>
          </w:tcPr>
          <w:p w14:paraId="1F5D808B">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秋季学期</w:t>
            </w:r>
          </w:p>
        </w:tc>
      </w:tr>
      <w:tr w14:paraId="0034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27" w:type="pct"/>
            <w:vAlign w:val="center"/>
          </w:tcPr>
          <w:p w14:paraId="008911AB">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数字化</w:t>
            </w:r>
            <w:r>
              <w:rPr>
                <w:rFonts w:hint="default" w:ascii="仿宋_GB2312" w:hAnsi="仿宋_GB2312" w:eastAsia="仿宋_GB2312" w:cs="仿宋_GB2312"/>
                <w:bCs/>
                <w:sz w:val="21"/>
                <w:szCs w:val="21"/>
                <w:lang w:val="en-US" w:eastAsia="zh-CN"/>
              </w:rPr>
              <w:t>市场</w:t>
            </w:r>
            <w:r>
              <w:rPr>
                <w:rFonts w:hint="eastAsia" w:ascii="仿宋_GB2312" w:hAnsi="仿宋_GB2312" w:eastAsia="仿宋_GB2312" w:cs="仿宋_GB2312"/>
                <w:bCs/>
                <w:sz w:val="21"/>
                <w:szCs w:val="21"/>
                <w:lang w:val="en-US" w:eastAsia="zh-CN"/>
              </w:rPr>
              <w:t>调研</w:t>
            </w:r>
          </w:p>
        </w:tc>
        <w:tc>
          <w:tcPr>
            <w:tcW w:w="360" w:type="pct"/>
            <w:vAlign w:val="center"/>
          </w:tcPr>
          <w:p w14:paraId="12361B79">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w:t>
            </w:r>
          </w:p>
        </w:tc>
        <w:tc>
          <w:tcPr>
            <w:tcW w:w="494" w:type="pct"/>
            <w:vAlign w:val="center"/>
          </w:tcPr>
          <w:p w14:paraId="62E9A63F">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36</w:t>
            </w:r>
          </w:p>
        </w:tc>
        <w:tc>
          <w:tcPr>
            <w:tcW w:w="512" w:type="pct"/>
            <w:vAlign w:val="center"/>
          </w:tcPr>
          <w:p w14:paraId="4AD89E69">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12</w:t>
            </w:r>
          </w:p>
        </w:tc>
        <w:tc>
          <w:tcPr>
            <w:tcW w:w="437" w:type="pct"/>
            <w:vAlign w:val="center"/>
          </w:tcPr>
          <w:p w14:paraId="40FBA09B">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24</w:t>
            </w:r>
          </w:p>
        </w:tc>
        <w:tc>
          <w:tcPr>
            <w:tcW w:w="636" w:type="pct"/>
            <w:shd w:val="clear" w:color="auto" w:fill="auto"/>
            <w:vAlign w:val="center"/>
          </w:tcPr>
          <w:p w14:paraId="43695BE4">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必修</w:t>
            </w:r>
          </w:p>
        </w:tc>
        <w:tc>
          <w:tcPr>
            <w:tcW w:w="643" w:type="pct"/>
            <w:shd w:val="clear" w:color="auto" w:fill="auto"/>
            <w:vAlign w:val="center"/>
          </w:tcPr>
          <w:p w14:paraId="6E205F7A">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考查</w:t>
            </w:r>
          </w:p>
        </w:tc>
        <w:tc>
          <w:tcPr>
            <w:tcW w:w="688" w:type="pct"/>
            <w:vAlign w:val="center"/>
          </w:tcPr>
          <w:p w14:paraId="69FDF524">
            <w:pPr>
              <w:widowControl/>
              <w:snapToGrid w:val="0"/>
              <w:ind w:left="0" w:leftChars="0" w:right="0" w:rightChars="0"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秋季学期</w:t>
            </w:r>
          </w:p>
        </w:tc>
      </w:tr>
      <w:tr w14:paraId="1BC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7" w:type="pct"/>
            <w:tcBorders>
              <w:bottom w:val="single" w:color="auto" w:sz="4" w:space="0"/>
            </w:tcBorders>
            <w:vAlign w:val="center"/>
          </w:tcPr>
          <w:p w14:paraId="74426046">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合计</w:t>
            </w:r>
          </w:p>
        </w:tc>
        <w:tc>
          <w:tcPr>
            <w:tcW w:w="360" w:type="pct"/>
            <w:tcBorders>
              <w:bottom w:val="single" w:color="auto" w:sz="4" w:space="0"/>
            </w:tcBorders>
            <w:shd w:val="clear" w:color="auto" w:fill="auto"/>
            <w:vAlign w:val="center"/>
          </w:tcPr>
          <w:p w14:paraId="4D0417C5">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10</w:t>
            </w:r>
          </w:p>
        </w:tc>
        <w:tc>
          <w:tcPr>
            <w:tcW w:w="494" w:type="pct"/>
            <w:tcBorders>
              <w:bottom w:val="single" w:color="auto" w:sz="4" w:space="0"/>
            </w:tcBorders>
            <w:shd w:val="clear" w:color="auto" w:fill="auto"/>
            <w:vAlign w:val="center"/>
          </w:tcPr>
          <w:p w14:paraId="09663693">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180</w:t>
            </w:r>
          </w:p>
        </w:tc>
        <w:tc>
          <w:tcPr>
            <w:tcW w:w="512" w:type="pct"/>
            <w:tcBorders>
              <w:bottom w:val="single" w:color="auto" w:sz="4" w:space="0"/>
            </w:tcBorders>
            <w:shd w:val="clear" w:color="auto" w:fill="auto"/>
            <w:vAlign w:val="center"/>
          </w:tcPr>
          <w:p w14:paraId="6D58FA37">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72</w:t>
            </w:r>
          </w:p>
        </w:tc>
        <w:tc>
          <w:tcPr>
            <w:tcW w:w="437" w:type="pct"/>
            <w:tcBorders>
              <w:bottom w:val="single" w:color="auto" w:sz="4" w:space="0"/>
            </w:tcBorders>
            <w:shd w:val="clear" w:color="auto" w:fill="auto"/>
            <w:vAlign w:val="center"/>
          </w:tcPr>
          <w:p w14:paraId="501E8242">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108</w:t>
            </w:r>
          </w:p>
        </w:tc>
        <w:tc>
          <w:tcPr>
            <w:tcW w:w="636" w:type="pct"/>
            <w:tcBorders>
              <w:bottom w:val="single" w:color="auto" w:sz="4" w:space="0"/>
            </w:tcBorders>
            <w:shd w:val="clear" w:color="auto" w:fill="auto"/>
            <w:vAlign w:val="center"/>
          </w:tcPr>
          <w:p w14:paraId="1EEC3844">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w:t>
            </w:r>
          </w:p>
        </w:tc>
        <w:tc>
          <w:tcPr>
            <w:tcW w:w="643" w:type="pct"/>
            <w:tcBorders>
              <w:bottom w:val="single" w:color="auto" w:sz="4" w:space="0"/>
            </w:tcBorders>
            <w:shd w:val="clear" w:color="auto" w:fill="auto"/>
            <w:vAlign w:val="center"/>
          </w:tcPr>
          <w:p w14:paraId="6BB3DEF0">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w:t>
            </w:r>
          </w:p>
        </w:tc>
        <w:tc>
          <w:tcPr>
            <w:tcW w:w="688" w:type="pct"/>
            <w:tcBorders>
              <w:bottom w:val="single" w:color="auto" w:sz="4" w:space="0"/>
            </w:tcBorders>
            <w:vAlign w:val="center"/>
          </w:tcPr>
          <w:p w14:paraId="2A2F8421">
            <w:pPr>
              <w:widowControl/>
              <w:snapToGrid w:val="0"/>
              <w:ind w:left="0" w:leftChars="0" w:right="0" w:rightChars="0"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w:t>
            </w:r>
          </w:p>
        </w:tc>
      </w:tr>
    </w:tbl>
    <w:p w14:paraId="1BFA77E3">
      <w:pPr>
        <w:spacing w:before="156" w:beforeLines="50" w:after="156" w:afterLines="50"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六、课程简介</w:t>
      </w:r>
    </w:p>
    <w:tbl>
      <w:tblPr>
        <w:tblStyle w:val="3"/>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988"/>
        <w:gridCol w:w="6145"/>
      </w:tblGrid>
      <w:tr w14:paraId="29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916" w:type="dxa"/>
            <w:tcBorders>
              <w:top w:val="single" w:color="auto" w:sz="4" w:space="0"/>
            </w:tcBorders>
            <w:vAlign w:val="center"/>
          </w:tcPr>
          <w:p w14:paraId="23FABFF7">
            <w:pPr>
              <w:widowControl/>
              <w:snapToGrid w:val="0"/>
              <w:ind w:left="0" w:leftChars="0" w:right="0" w:rightChars="0" w:firstLine="0" w:firstLineChars="0"/>
              <w:jc w:val="center"/>
              <w:rPr>
                <w:rFonts w:hint="eastAsia" w:ascii="黑体" w:hAnsi="黑体" w:eastAsia="黑体" w:cs="黑体"/>
                <w:b/>
                <w:bCs/>
                <w:spacing w:val="20"/>
                <w:sz w:val="21"/>
                <w:szCs w:val="21"/>
              </w:rPr>
            </w:pPr>
            <w:r>
              <w:rPr>
                <w:rFonts w:hint="eastAsia" w:ascii="黑体" w:hAnsi="黑体" w:eastAsia="黑体" w:cs="黑体"/>
                <w:b/>
                <w:bCs/>
                <w:spacing w:val="20"/>
                <w:sz w:val="21"/>
                <w:szCs w:val="21"/>
              </w:rPr>
              <w:t>序号</w:t>
            </w:r>
          </w:p>
        </w:tc>
        <w:tc>
          <w:tcPr>
            <w:tcW w:w="1988" w:type="dxa"/>
            <w:tcBorders>
              <w:top w:val="single" w:color="auto" w:sz="4" w:space="0"/>
            </w:tcBorders>
            <w:vAlign w:val="center"/>
          </w:tcPr>
          <w:p w14:paraId="5300F9AD">
            <w:pPr>
              <w:widowControl/>
              <w:snapToGrid w:val="0"/>
              <w:ind w:left="0" w:leftChars="0" w:right="0" w:rightChars="0" w:firstLine="0" w:firstLineChars="0"/>
              <w:jc w:val="center"/>
              <w:rPr>
                <w:rFonts w:hint="eastAsia" w:ascii="黑体" w:hAnsi="黑体" w:eastAsia="黑体" w:cs="黑体"/>
                <w:b/>
                <w:bCs/>
                <w:spacing w:val="20"/>
                <w:sz w:val="21"/>
                <w:szCs w:val="21"/>
              </w:rPr>
            </w:pPr>
            <w:r>
              <w:rPr>
                <w:rFonts w:hint="eastAsia" w:ascii="黑体" w:hAnsi="黑体" w:eastAsia="黑体" w:cs="黑体"/>
                <w:b/>
                <w:bCs/>
                <w:spacing w:val="20"/>
                <w:sz w:val="21"/>
                <w:szCs w:val="21"/>
              </w:rPr>
              <w:t>课程名称</w:t>
            </w:r>
          </w:p>
        </w:tc>
        <w:tc>
          <w:tcPr>
            <w:tcW w:w="6145" w:type="dxa"/>
            <w:tcBorders>
              <w:top w:val="single" w:color="auto" w:sz="4" w:space="0"/>
              <w:bottom w:val="single" w:color="auto" w:sz="4" w:space="0"/>
            </w:tcBorders>
            <w:vAlign w:val="center"/>
          </w:tcPr>
          <w:p w14:paraId="005B8980">
            <w:pPr>
              <w:widowControl/>
              <w:snapToGrid w:val="0"/>
              <w:ind w:left="0" w:leftChars="0" w:right="0" w:rightChars="0" w:firstLine="0" w:firstLineChars="0"/>
              <w:jc w:val="center"/>
              <w:rPr>
                <w:rFonts w:hint="eastAsia" w:ascii="黑体" w:hAnsi="黑体" w:eastAsia="黑体" w:cs="黑体"/>
                <w:b/>
                <w:bCs/>
                <w:sz w:val="21"/>
                <w:szCs w:val="21"/>
              </w:rPr>
            </w:pPr>
            <w:r>
              <w:rPr>
                <w:rFonts w:hint="eastAsia" w:ascii="黑体" w:hAnsi="黑体" w:eastAsia="黑体" w:cs="黑体"/>
                <w:b/>
                <w:bCs/>
                <w:spacing w:val="20"/>
                <w:sz w:val="21"/>
                <w:szCs w:val="21"/>
              </w:rPr>
              <w:t>课程简介</w:t>
            </w:r>
          </w:p>
        </w:tc>
      </w:tr>
      <w:tr w14:paraId="094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Align w:val="center"/>
          </w:tcPr>
          <w:p w14:paraId="05C72216">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1988" w:type="dxa"/>
            <w:vAlign w:val="center"/>
          </w:tcPr>
          <w:p w14:paraId="7CB97DB7">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数字营销概论</w:t>
            </w:r>
          </w:p>
        </w:tc>
        <w:tc>
          <w:tcPr>
            <w:tcW w:w="6145" w:type="dxa"/>
            <w:tcBorders>
              <w:top w:val="single" w:color="auto" w:sz="4" w:space="0"/>
              <w:bottom w:val="single" w:color="auto" w:sz="4" w:space="0"/>
            </w:tcBorders>
            <w:vAlign w:val="center"/>
          </w:tcPr>
          <w:p w14:paraId="22C3787A">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作为数字营销微专业的基础入门课程，本课程以国际商学院在跨境营销领域的积累为核心，搭建传统营销逻辑、数字营销升级、跨境场景适配的三维知识体系。</w:t>
            </w:r>
          </w:p>
          <w:p w14:paraId="1369234F">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课程系统讲解营销核心理论，聚焦数字经济对营销的重构、全域营销逻辑与跨境营销特殊性。通过国际品牌数字营销案例拆解、小组模拟营销策划等教学形式，帮助学生夯实营销理论根基，为后续数字化、跨境化课程学习筑牢基础。</w:t>
            </w:r>
          </w:p>
        </w:tc>
      </w:tr>
      <w:tr w14:paraId="46D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Align w:val="center"/>
          </w:tcPr>
          <w:p w14:paraId="6F56B075">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1988" w:type="dxa"/>
            <w:vAlign w:val="center"/>
          </w:tcPr>
          <w:p w14:paraId="2C428520">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数字商业管理</w:t>
            </w:r>
          </w:p>
        </w:tc>
        <w:tc>
          <w:tcPr>
            <w:tcW w:w="6145" w:type="dxa"/>
            <w:tcBorders>
              <w:top w:val="single" w:color="auto" w:sz="4" w:space="0"/>
              <w:bottom w:val="single" w:color="auto" w:sz="4" w:space="0"/>
            </w:tcBorders>
            <w:vAlign w:val="center"/>
          </w:tcPr>
          <w:p w14:paraId="639752C9">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本课程聚焦数字经济时代的商业运营逻辑，内容涵盖三大模块：数字商业底层逻辑、数字化转型路径、数字商业与营销的联动。</w:t>
            </w:r>
          </w:p>
          <w:p w14:paraId="389BF047">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教学中融入国际商学院合作企业的真实案例，结合小组讨论、商业计划书撰写等实操环节，培养学生从商业视角理解数字营销的战略价值，掌握商业需求、营销适配、跨境落地的协同思维。</w:t>
            </w:r>
          </w:p>
        </w:tc>
      </w:tr>
      <w:tr w14:paraId="0787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Align w:val="center"/>
          </w:tcPr>
          <w:p w14:paraId="0BEF1DD9">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1988" w:type="dxa"/>
            <w:vAlign w:val="center"/>
          </w:tcPr>
          <w:p w14:paraId="610999CC">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数字消费者行为学</w:t>
            </w:r>
          </w:p>
        </w:tc>
        <w:tc>
          <w:tcPr>
            <w:tcW w:w="6145" w:type="dxa"/>
            <w:tcBorders>
              <w:top w:val="single" w:color="auto" w:sz="4" w:space="0"/>
              <w:bottom w:val="single" w:color="auto" w:sz="4" w:space="0"/>
            </w:tcBorders>
            <w:vAlign w:val="center"/>
          </w:tcPr>
          <w:p w14:paraId="1AEDC8B2">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本课程聚焦数字环境下消费者决策规律，课程核心内容包括：数字消费者决策路径、用户分层与画像构建、数字触点对行为的影响、跨文化数字消费者行为差异等。</w:t>
            </w:r>
          </w:p>
          <w:p w14:paraId="10E0A370">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教学中融入真实案例，结合用户行为模拟实验、消费者洞察报告撰写等实操环节，帮助学生掌握用数字化工具分析消费者行为、适配营销场景的能力，为精准营销方案设计提供核心依据。</w:t>
            </w:r>
          </w:p>
        </w:tc>
      </w:tr>
      <w:tr w14:paraId="070D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Align w:val="center"/>
          </w:tcPr>
          <w:p w14:paraId="3BD08FA6">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1988" w:type="dxa"/>
            <w:vAlign w:val="center"/>
          </w:tcPr>
          <w:p w14:paraId="514217D3">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商务数据分析</w:t>
            </w:r>
          </w:p>
        </w:tc>
        <w:tc>
          <w:tcPr>
            <w:tcW w:w="6145" w:type="dxa"/>
            <w:tcBorders>
              <w:top w:val="single" w:color="auto" w:sz="4" w:space="0"/>
              <w:bottom w:val="single" w:color="auto" w:sz="4" w:space="0"/>
            </w:tcBorders>
            <w:vAlign w:val="center"/>
          </w:tcPr>
          <w:p w14:paraId="1F61B814">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作为微专业的核心技术赋能课程，本课程聚焦数据驱动营销决策的核心目标。依托中联教育商务数据分析实训平台，使用真实行业数据，紧扣数字营销与跨境场景，涵盖数据处理基础、营销数据分析核心模型，培养学生从真实数据中提取营销洞察、优化策略的核心能力。</w:t>
            </w:r>
          </w:p>
          <w:p w14:paraId="39B53BD1">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教学设计</w:t>
            </w:r>
            <w:r>
              <w:rPr>
                <w:rFonts w:hint="eastAsia" w:ascii="仿宋_GB2312" w:hAnsi="仿宋_GB2312" w:eastAsia="仿宋_GB2312" w:cs="仿宋_GB2312"/>
                <w:bCs/>
                <w:sz w:val="21"/>
                <w:szCs w:val="21"/>
                <w:lang w:val="en-US" w:eastAsia="zh-CN"/>
              </w:rPr>
              <w:t>上，</w:t>
            </w:r>
            <w:r>
              <w:rPr>
                <w:rFonts w:hint="eastAsia" w:ascii="仿宋_GB2312" w:hAnsi="仿宋_GB2312" w:eastAsia="仿宋_GB2312" w:cs="仿宋_GB2312"/>
                <w:bCs/>
                <w:sz w:val="21"/>
                <w:szCs w:val="21"/>
              </w:rPr>
              <w:t>理论讲解与工具实操结合</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学生运用</w:t>
            </w:r>
            <w:r>
              <w:rPr>
                <w:rFonts w:hint="eastAsia" w:ascii="仿宋_GB2312" w:hAnsi="仿宋_GB2312" w:eastAsia="仿宋_GB2312" w:cs="仿宋_GB2312"/>
                <w:bCs/>
                <w:sz w:val="21"/>
                <w:szCs w:val="21"/>
                <w:lang w:val="en-US" w:eastAsia="zh-CN"/>
              </w:rPr>
              <w:t>统计软件</w:t>
            </w:r>
            <w:r>
              <w:rPr>
                <w:rFonts w:hint="eastAsia" w:ascii="仿宋_GB2312" w:hAnsi="仿宋_GB2312" w:eastAsia="仿宋_GB2312" w:cs="仿宋_GB2312"/>
                <w:bCs/>
                <w:sz w:val="21"/>
                <w:szCs w:val="21"/>
              </w:rPr>
              <w:t>处理真实数据，提炼营销洞察并优化策略，培养数据驱动决策能力。</w:t>
            </w:r>
          </w:p>
        </w:tc>
      </w:tr>
      <w:tr w14:paraId="1D17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Align w:val="center"/>
          </w:tcPr>
          <w:p w14:paraId="00DFAFF9">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1988" w:type="dxa"/>
            <w:vAlign w:val="center"/>
          </w:tcPr>
          <w:p w14:paraId="444EB702">
            <w:pPr>
              <w:widowControl/>
              <w:snapToGrid w:val="0"/>
              <w:ind w:left="0" w:leftChars="0" w:right="0" w:rightChars="0"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数字化</w:t>
            </w:r>
            <w:r>
              <w:rPr>
                <w:rFonts w:hint="default" w:ascii="仿宋_GB2312" w:hAnsi="仿宋_GB2312" w:eastAsia="仿宋_GB2312" w:cs="仿宋_GB2312"/>
                <w:bCs/>
                <w:sz w:val="21"/>
                <w:szCs w:val="21"/>
                <w:lang w:val="en-US" w:eastAsia="zh-CN"/>
              </w:rPr>
              <w:t>市场</w:t>
            </w:r>
            <w:r>
              <w:rPr>
                <w:rFonts w:hint="eastAsia" w:ascii="仿宋_GB2312" w:hAnsi="仿宋_GB2312" w:eastAsia="仿宋_GB2312" w:cs="仿宋_GB2312"/>
                <w:bCs/>
                <w:sz w:val="21"/>
                <w:szCs w:val="21"/>
                <w:lang w:val="en-US" w:eastAsia="zh-CN"/>
              </w:rPr>
              <w:t>调研</w:t>
            </w:r>
          </w:p>
        </w:tc>
        <w:tc>
          <w:tcPr>
            <w:tcW w:w="6145" w:type="dxa"/>
            <w:tcBorders>
              <w:top w:val="single" w:color="auto" w:sz="4" w:space="0"/>
              <w:bottom w:val="single" w:color="auto" w:sz="4" w:space="0"/>
            </w:tcBorders>
            <w:vAlign w:val="center"/>
          </w:tcPr>
          <w:p w14:paraId="05B090FE">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本课程以“数字工具赋能调研全流程”为核心，依托国际商学院营销实战资源，聚焦数字营销场景下的市场洞察能力培养。课程系统讲解数字化调研的核心方法：数据采集、数字化调研工具实操、调研数据处理与合规性等。教学中结合营销真实需求，组织学生分组完成全流程调研项目，从调研方案设计、数据采集分析到报告输出，掌握用数字化工具解决市场洞察问题的实战能力，为营销决策提供科学支撑。</w:t>
            </w:r>
          </w:p>
          <w:p w14:paraId="6DAB8543">
            <w:pPr>
              <w:widowControl/>
              <w:snapToGrid w:val="0"/>
              <w:ind w:left="0" w:leftChars="0" w:right="0" w:rightChars="0" w:firstLine="420" w:firstLineChars="20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教学设计</w:t>
            </w:r>
            <w:r>
              <w:rPr>
                <w:rFonts w:hint="eastAsia" w:ascii="仿宋_GB2312" w:hAnsi="仿宋_GB2312" w:eastAsia="仿宋_GB2312" w:cs="仿宋_GB2312"/>
                <w:bCs/>
                <w:sz w:val="21"/>
                <w:szCs w:val="21"/>
                <w:lang w:val="en-US" w:eastAsia="zh-CN"/>
              </w:rPr>
              <w:t>上，</w:t>
            </w:r>
            <w:r>
              <w:rPr>
                <w:rFonts w:hint="eastAsia" w:ascii="仿宋_GB2312" w:hAnsi="仿宋_GB2312" w:eastAsia="仿宋_GB2312" w:cs="仿宋_GB2312"/>
                <w:bCs/>
                <w:sz w:val="21"/>
                <w:szCs w:val="21"/>
              </w:rPr>
              <w:t>采用项目制教学，组织学生分组完成全流程调研任务，从方案设计、数据采集分析到报告输出，强化数字化工具解决实际问题的实战能力。</w:t>
            </w:r>
          </w:p>
        </w:tc>
      </w:tr>
    </w:tbl>
    <w:p w14:paraId="75ED79F5"/>
    <w:sectPr>
      <w:pgSz w:w="11906" w:h="16838"/>
      <w:pgMar w:top="1134" w:right="1418" w:bottom="1134" w:left="1418"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587838-4FD7-4DBC-A04F-E520C78896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DD5B2A-61EF-4068-90D5-B7922CC98B1D}"/>
  </w:font>
  <w:font w:name="仿宋_GB2312">
    <w:altName w:val="仿宋"/>
    <w:panose1 w:val="02010609030101010101"/>
    <w:charset w:val="86"/>
    <w:family w:val="modern"/>
    <w:pitch w:val="default"/>
    <w:sig w:usb0="00000000" w:usb1="00000000" w:usb2="00000000" w:usb3="00000000" w:csb0="00040000" w:csb1="00000000"/>
    <w:embedRegular r:id="rId3" w:fontKey="{3A1B568A-13A8-4666-82F1-434C6023297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mIxMDA0NmUxMTI3OTI0ODcyOTk2MmYwM2I1NGIifQ=="/>
  </w:docVars>
  <w:rsids>
    <w:rsidRoot w:val="0AE32D0C"/>
    <w:rsid w:val="000703B8"/>
    <w:rsid w:val="0007770F"/>
    <w:rsid w:val="001D40F7"/>
    <w:rsid w:val="001E18A9"/>
    <w:rsid w:val="002D1061"/>
    <w:rsid w:val="00372B72"/>
    <w:rsid w:val="00381A54"/>
    <w:rsid w:val="004B5A3E"/>
    <w:rsid w:val="005545E7"/>
    <w:rsid w:val="00597148"/>
    <w:rsid w:val="005D0C17"/>
    <w:rsid w:val="00757B4D"/>
    <w:rsid w:val="008C1075"/>
    <w:rsid w:val="009B1FE8"/>
    <w:rsid w:val="009F6304"/>
    <w:rsid w:val="00B348CD"/>
    <w:rsid w:val="00BC45A1"/>
    <w:rsid w:val="00D529C8"/>
    <w:rsid w:val="00DB7AED"/>
    <w:rsid w:val="00F16F11"/>
    <w:rsid w:val="01A324E9"/>
    <w:rsid w:val="025657AD"/>
    <w:rsid w:val="02641DFB"/>
    <w:rsid w:val="04A73D2B"/>
    <w:rsid w:val="050419A7"/>
    <w:rsid w:val="05300538"/>
    <w:rsid w:val="06300FCF"/>
    <w:rsid w:val="09954E0D"/>
    <w:rsid w:val="0AE32D0C"/>
    <w:rsid w:val="0AF85A36"/>
    <w:rsid w:val="0C402E4A"/>
    <w:rsid w:val="0C7A3C79"/>
    <w:rsid w:val="0FB93D29"/>
    <w:rsid w:val="108856CC"/>
    <w:rsid w:val="10A75028"/>
    <w:rsid w:val="1165300E"/>
    <w:rsid w:val="175A6EDF"/>
    <w:rsid w:val="1A393593"/>
    <w:rsid w:val="1C4F3541"/>
    <w:rsid w:val="1D2D4C5B"/>
    <w:rsid w:val="1EEF22CE"/>
    <w:rsid w:val="207517F8"/>
    <w:rsid w:val="212C6D05"/>
    <w:rsid w:val="21BF3E1B"/>
    <w:rsid w:val="22401962"/>
    <w:rsid w:val="2342170A"/>
    <w:rsid w:val="23D031BA"/>
    <w:rsid w:val="27054585"/>
    <w:rsid w:val="2D572256"/>
    <w:rsid w:val="2DC72F38"/>
    <w:rsid w:val="352E7D40"/>
    <w:rsid w:val="35B30245"/>
    <w:rsid w:val="39FE4185"/>
    <w:rsid w:val="3A8618C8"/>
    <w:rsid w:val="3D7106DB"/>
    <w:rsid w:val="3E715E15"/>
    <w:rsid w:val="42A15A77"/>
    <w:rsid w:val="43217136"/>
    <w:rsid w:val="442D2478"/>
    <w:rsid w:val="45B42AAD"/>
    <w:rsid w:val="45EC7588"/>
    <w:rsid w:val="46E13E64"/>
    <w:rsid w:val="47170634"/>
    <w:rsid w:val="481B4074"/>
    <w:rsid w:val="49530C2E"/>
    <w:rsid w:val="496038EF"/>
    <w:rsid w:val="499B72F7"/>
    <w:rsid w:val="4C982217"/>
    <w:rsid w:val="4F033B61"/>
    <w:rsid w:val="537C0633"/>
    <w:rsid w:val="53966503"/>
    <w:rsid w:val="54C3152D"/>
    <w:rsid w:val="550A5C7C"/>
    <w:rsid w:val="58393E55"/>
    <w:rsid w:val="591744C4"/>
    <w:rsid w:val="5B324E66"/>
    <w:rsid w:val="5C2667BC"/>
    <w:rsid w:val="60E0197E"/>
    <w:rsid w:val="6221580D"/>
    <w:rsid w:val="64844FF7"/>
    <w:rsid w:val="649F2FD7"/>
    <w:rsid w:val="687B4BF8"/>
    <w:rsid w:val="687E1793"/>
    <w:rsid w:val="6ABC6060"/>
    <w:rsid w:val="6C2429A7"/>
    <w:rsid w:val="6C3063BD"/>
    <w:rsid w:val="6E333E16"/>
    <w:rsid w:val="6EDB52A7"/>
    <w:rsid w:val="70E37655"/>
    <w:rsid w:val="73EC4A73"/>
    <w:rsid w:val="7539033A"/>
    <w:rsid w:val="75F566C9"/>
    <w:rsid w:val="76BE6545"/>
    <w:rsid w:val="78680440"/>
    <w:rsid w:val="7A1906CA"/>
    <w:rsid w:val="7A3D7C81"/>
    <w:rsid w:val="7BA541AE"/>
    <w:rsid w:val="7BEA0F7C"/>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1811</Words>
  <Characters>1835</Characters>
  <Lines>3</Lines>
  <Paragraphs>1</Paragraphs>
  <TotalTime>0</TotalTime>
  <ScaleCrop>false</ScaleCrop>
  <LinksUpToDate>false</LinksUpToDate>
  <CharactersWithSpaces>1835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2023-05-06T03:14:00Z</dcterms:created>
  <dc:creator>Shine_ZHOU</dc:creator>
  <cp:lastModifiedBy>知足常乐</cp:lastModifiedBy>
  <dcterms:modified xsi:type="dcterms:W3CDTF">2026-03-02T08:31:33Z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89BE444AC31A41DE92AD2CE08303C9EE</vt:lpwstr>
  </property>
  <property fmtid="{D5CDD505-2E9C-101B-9397-08002B2CF9AE}" pid="4" name="KSOTemplateDocerSaveRecord">
    <vt:lpwstr>eyJoZGlkIjoiMjI4MzZlNmFmOWJmY2NkNDQ2ZTg1NDcyZDVjOWZlMGQiLCJ1c2VySWQiOiI0NDI2MTc4OTMifQ==</vt:lpwstr>
  </property>
</Properties>
</file>